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3E" w:rsidRDefault="006E683E" w:rsidP="006E683E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32"/>
          <w:szCs w:val="24"/>
          <w:lang w:val="en-US" w:eastAsia="en-US"/>
        </w:rPr>
        <w:drawing>
          <wp:inline distT="0" distB="0" distL="0" distR="0">
            <wp:extent cx="3048006" cy="3048006"/>
            <wp:effectExtent l="0" t="0" r="0" b="0"/>
            <wp:docPr id="1" name="Picture 0" descr="11847_logo_M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7_logo_MBD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6" cy="30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83E" w:rsidRDefault="006E683E" w:rsidP="00D6460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</w:p>
    <w:p w:rsidR="00D64604" w:rsidRPr="00E277FF" w:rsidRDefault="00D64604" w:rsidP="00D6460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E277FF">
        <w:rPr>
          <w:rFonts w:ascii="Times New Roman" w:hAnsi="Times New Roman" w:cs="Times New Roman"/>
          <w:b/>
          <w:sz w:val="32"/>
          <w:szCs w:val="24"/>
          <w:lang w:val="en-US"/>
        </w:rPr>
        <w:t>Training</w:t>
      </w:r>
    </w:p>
    <w:p w:rsidR="00D64604" w:rsidRPr="00E277FF" w:rsidRDefault="00D64604" w:rsidP="00D6460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E277FF">
        <w:rPr>
          <w:rFonts w:ascii="Times New Roman" w:hAnsi="Times New Roman" w:cs="Times New Roman"/>
          <w:sz w:val="28"/>
          <w:szCs w:val="24"/>
          <w:lang w:val="en-US"/>
        </w:rPr>
        <w:t xml:space="preserve">The institution undertakes regular training programs for both teaching and non-teaching staff in academic, clinical, and administrative domains for keeping abreast with the current developments and trends in the respective fields. Teaching faculty </w:t>
      </w:r>
      <w:proofErr w:type="gramStart"/>
      <w:r w:rsidRPr="00E277FF">
        <w:rPr>
          <w:rFonts w:ascii="Times New Roman" w:hAnsi="Times New Roman" w:cs="Times New Roman"/>
          <w:sz w:val="28"/>
          <w:szCs w:val="24"/>
          <w:lang w:val="en-US"/>
        </w:rPr>
        <w:t>are</w:t>
      </w:r>
      <w:proofErr w:type="gramEnd"/>
      <w:r w:rsidRPr="00E277FF">
        <w:rPr>
          <w:rFonts w:ascii="Times New Roman" w:hAnsi="Times New Roman" w:cs="Times New Roman"/>
          <w:sz w:val="28"/>
          <w:szCs w:val="24"/>
          <w:lang w:val="en-US"/>
        </w:rPr>
        <w:t xml:space="preserve"> given opportunities to attend continuing dental education </w:t>
      </w:r>
      <w:proofErr w:type="spellStart"/>
      <w:r w:rsidRPr="00E277FF">
        <w:rPr>
          <w:rFonts w:ascii="Times New Roman" w:hAnsi="Times New Roman" w:cs="Times New Roman"/>
          <w:sz w:val="28"/>
          <w:szCs w:val="24"/>
          <w:lang w:val="en-US"/>
        </w:rPr>
        <w:t>programmes</w:t>
      </w:r>
      <w:proofErr w:type="spellEnd"/>
      <w:r w:rsidRPr="00E277FF">
        <w:rPr>
          <w:rFonts w:ascii="Times New Roman" w:hAnsi="Times New Roman" w:cs="Times New Roman"/>
          <w:sz w:val="28"/>
          <w:szCs w:val="24"/>
          <w:lang w:val="en-US"/>
        </w:rPr>
        <w:t xml:space="preserve"> to update their knowledge and skills.</w:t>
      </w:r>
    </w:p>
    <w:p w:rsidR="0046420F" w:rsidRDefault="0046420F"/>
    <w:sectPr w:rsidR="0046420F" w:rsidSect="00FB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3762"/>
    <w:multiLevelType w:val="hybridMultilevel"/>
    <w:tmpl w:val="A0CC234E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683E"/>
    <w:rsid w:val="0046420F"/>
    <w:rsid w:val="006E683E"/>
    <w:rsid w:val="00D64604"/>
    <w:rsid w:val="00FB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83E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8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2024-02-12T17:30:00Z</dcterms:created>
  <dcterms:modified xsi:type="dcterms:W3CDTF">2024-02-12T17:38:00Z</dcterms:modified>
</cp:coreProperties>
</file>