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3E" w:rsidRDefault="006E683E" w:rsidP="006E683E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val="en-US" w:eastAsia="en-US"/>
        </w:rPr>
        <w:drawing>
          <wp:inline distT="0" distB="0" distL="0" distR="0">
            <wp:extent cx="3048006" cy="3048006"/>
            <wp:effectExtent l="0" t="0" r="0" b="0"/>
            <wp:docPr id="1" name="Picture 0" descr="11847_logo_MB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47_logo_MBD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6" cy="304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3E" w:rsidRDefault="006E683E" w:rsidP="006E683E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E424C2" w:rsidRPr="00E277FF" w:rsidRDefault="00E424C2" w:rsidP="00E424C2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E277FF">
        <w:rPr>
          <w:rFonts w:ascii="Times New Roman" w:hAnsi="Times New Roman" w:cs="Times New Roman"/>
          <w:b/>
          <w:sz w:val="32"/>
          <w:szCs w:val="24"/>
          <w:lang w:val="en-US"/>
        </w:rPr>
        <w:t>Campus Facilities</w:t>
      </w:r>
    </w:p>
    <w:p w:rsidR="00E424C2" w:rsidRPr="00E277FF" w:rsidRDefault="00E424C2" w:rsidP="00E424C2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E277FF">
        <w:rPr>
          <w:rFonts w:ascii="Times New Roman" w:hAnsi="Times New Roman" w:cs="Times New Roman"/>
          <w:sz w:val="28"/>
          <w:szCs w:val="24"/>
          <w:lang w:val="en-US"/>
        </w:rPr>
        <w:t>Residential facility is offered to the staff in staff quarters. A staff mess and food court offer dining at subsidized rates. The campus is fully Wi-Fi enabled with free access. The reprographic centre in the library provides Xerox and printout facilities</w:t>
      </w:r>
    </w:p>
    <w:p w:rsidR="0046420F" w:rsidRDefault="0046420F"/>
    <w:sectPr w:rsidR="0046420F" w:rsidSect="00B91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762"/>
    <w:multiLevelType w:val="hybridMultilevel"/>
    <w:tmpl w:val="A0CC234E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683E"/>
    <w:rsid w:val="0046420F"/>
    <w:rsid w:val="006E683E"/>
    <w:rsid w:val="00B91741"/>
    <w:rsid w:val="00E4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83E"/>
    <w:pPr>
      <w:ind w:left="720"/>
      <w:contextualSpacing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2024-02-12T17:30:00Z</dcterms:created>
  <dcterms:modified xsi:type="dcterms:W3CDTF">2024-02-12T17:39:00Z</dcterms:modified>
</cp:coreProperties>
</file>